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EFAE100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B91ADF">
              <w:rPr>
                <w:rFonts w:eastAsia="Times New Roman" w:cs="Arial"/>
                <w:szCs w:val="20"/>
                <w:lang w:eastAsia="de-DE"/>
              </w:rPr>
              <w:t xml:space="preserve">  44-2026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996A931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23E5C818" w14:textId="2A48572E" w:rsidR="00B91ADF" w:rsidRPr="00E75FB9" w:rsidRDefault="00B91ADF" w:rsidP="009F6640">
      <w:pPr>
        <w:ind w:firstLine="0"/>
        <w:rPr>
          <w:b/>
        </w:rPr>
      </w:pPr>
      <w:r>
        <w:t xml:space="preserve">Anmietung einer semistationären Geschwindigkeitsüberwachungsanlage (Enforcement Trailer)  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0AE47F5E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CF3E87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3F939338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CF3E87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CF3E8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91ADF"/>
    <w:rsid w:val="00BB5AEF"/>
    <w:rsid w:val="00C53C30"/>
    <w:rsid w:val="00C53CAA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522C3E-66CE-4329-A520-76C4DA77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Przygodda.86, Birgit</cp:lastModifiedBy>
  <cp:revision>3</cp:revision>
  <dcterms:created xsi:type="dcterms:W3CDTF">2025-09-18T12:14:00Z</dcterms:created>
  <dcterms:modified xsi:type="dcterms:W3CDTF">2026-06-22T07:22:00Z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